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C6" w:rsidRDefault="00D2596E" w:rsidP="00D2596E">
      <w:pPr>
        <w:rPr>
          <w:sz w:val="20"/>
        </w:rPr>
      </w:pPr>
      <w:r w:rsidRPr="00D2596E">
        <w:rPr>
          <w:b/>
          <w:sz w:val="20"/>
        </w:rPr>
        <w:t>Nombre:</w:t>
      </w:r>
      <w:r>
        <w:rPr>
          <w:b/>
          <w:sz w:val="20"/>
        </w:rPr>
        <w:t xml:space="preserve"> </w:t>
      </w:r>
      <w:r>
        <w:rPr>
          <w:sz w:val="20"/>
        </w:rPr>
        <w:t xml:space="preserve">____________________________________________________ </w:t>
      </w:r>
      <w:r>
        <w:rPr>
          <w:b/>
          <w:sz w:val="20"/>
        </w:rPr>
        <w:t xml:space="preserve">Curso: </w:t>
      </w:r>
      <w:r>
        <w:rPr>
          <w:sz w:val="20"/>
        </w:rPr>
        <w:t>_______ Fecha: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8"/>
      </w:tblGrid>
      <w:tr w:rsidR="002943C6" w:rsidTr="002943C6">
        <w:tc>
          <w:tcPr>
            <w:tcW w:w="9538" w:type="dxa"/>
          </w:tcPr>
          <w:p w:rsidR="00C57B2A" w:rsidRDefault="00C57B2A" w:rsidP="00C57B2A">
            <w:pPr>
              <w:jc w:val="center"/>
              <w:rPr>
                <w:b/>
                <w:sz w:val="24"/>
              </w:rPr>
            </w:pPr>
            <w:r w:rsidRPr="00C57B2A">
              <w:rPr>
                <w:b/>
                <w:sz w:val="24"/>
              </w:rPr>
              <w:t>La cuestión social o la preocupación de las clases</w:t>
            </w:r>
            <w:r w:rsidRPr="00C57B2A">
              <w:rPr>
                <w:b/>
                <w:sz w:val="24"/>
              </w:rPr>
              <w:t xml:space="preserve"> </w:t>
            </w:r>
            <w:r w:rsidRPr="00C57B2A">
              <w:rPr>
                <w:b/>
                <w:sz w:val="24"/>
              </w:rPr>
              <w:t>dirigentes sobre el problema obrero</w:t>
            </w:r>
          </w:p>
          <w:p w:rsidR="00C57B2A" w:rsidRPr="00C57B2A" w:rsidRDefault="00C57B2A" w:rsidP="00C57B2A">
            <w:pPr>
              <w:jc w:val="center"/>
              <w:rPr>
                <w:b/>
                <w:sz w:val="24"/>
              </w:rPr>
            </w:pPr>
          </w:p>
          <w:p w:rsidR="00C57B2A" w:rsidRPr="00C57B2A" w:rsidRDefault="00C57B2A" w:rsidP="00C57B2A">
            <w:pPr>
              <w:jc w:val="both"/>
              <w:rPr>
                <w:b/>
                <w:sz w:val="24"/>
              </w:rPr>
            </w:pPr>
            <w:r w:rsidRPr="00C57B2A">
              <w:rPr>
                <w:b/>
                <w:sz w:val="24"/>
              </w:rPr>
              <w:t>La instalación del concepto de “cuestión social” en</w:t>
            </w:r>
            <w:r w:rsidRPr="00C57B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Chile (1870-</w:t>
            </w:r>
            <w:r w:rsidRPr="00C57B2A">
              <w:rPr>
                <w:b/>
                <w:sz w:val="24"/>
              </w:rPr>
              <w:t>1900)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Durante la década de 1870, se produjo la aparición de los debates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sobre la cuestión social. El concepto todavía no había sido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desarrollado, pero sus contenidos básicos ya estaban presentes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los escritos de Zorobabel Rodríguez, connotado político conservador,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quien desarrolló una refutación sistemática a las reivindicaciones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obreras y se adscribió al liberalismo económico, planteando como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única solución para los trabajadores la creación de cajas de ahorro,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como ya se estaban formando por iniciativa de las mutuales.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2943C6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Durante la década de 1880, se produjo una primera sistematización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del concepto de la “cuestión social”, especialmente desde el estudio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realizado por el doctor Augusto Orrego Luco, quien en 1884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escribió la mencionada obra La cuestión social. Apoyándose en un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detallado análisis demográfico del país, Orrego abordó los principales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problemas sociales, como las altas tasas de mortalidad general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 infantil. Descubrió en la emigración de los peones rurales a las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ciudades, las malas condiciones de vida de la población y los bajos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salarios de los trabajadores las causas de los problemas centrales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la sociedad. Propuso como soluciones fijar la masa itinerante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torno a un trabajo estable, la enseñanza obligatoria, el mejoramiento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la higiene y la resolución de la cuestión agraria.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Es interesante agregar que en la misma obra Orrego Luco visualizaba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como solución al problema social: “…levantar el salario, y eso solo se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puede conseguir fomentando resueltamente el desarrollo industrial de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este país, levantando la industria, protegiendo la industria; renunciando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abierta y claramente a las pequeñas ventajas de la competencia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extranjera que destruyen las pequeñas industrias nacionales, y que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estamos pagando con el bienestar y la vida de nuestros compatriotas…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 presencia de ese problema formidable, la protección a la industria,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aun llevada hasta el sacrificio de ligeras ventajas inmediatas,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una necesidad imperiosa y un cálculo egoísta. Si el proletariado se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desarrolla nos sumergirá en una de esas situaciones inciertas y llenas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inquietudes que imposibilitan el movimiento comercial y suspenden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sobre una sociedad la amenaza inminente de un trastorno”.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la década de 1890, aparecieron nuevos diagnósticos y propuestas,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especialmente desde la fundación del Partido Democrático, cuyos Manifiesto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Programa propusieron una solución política integral a los problemas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sociales.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Inmediatamente comenzaron a levantarse voces desde los distintos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sectores políticos influyentes. La iglesia Católica, a través del arzobispo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Santiago, Mariano Casanova, impulsó un movimiento católico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entre los obreros, inspirado en la encíclica papal Rerum Novarum,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que constituyó la base de la Doctrina Social de la Iglesia. Esta consideraba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peligrosa la popularidad de las ideas socialistas y anarquistas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entre los obreros y proponía la moralización de ellos, la caridad de las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clases dominantes para con los pobres y la educación.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1898, Juan Enrique Concha, hijo del benefactor Melchor Concha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Toro y joven militante del Partido Conservador, escribió “Cuestiones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Obreras”, obra dedicada a estudiar la organización y movilización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obrera y a proponer una legislación sindical, casi treinta años antes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que esta se materializara. Con todo, su posición constituyó una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excepción dentro del Partido Conservador de la época.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el campo laico destacaron durante la década de 1890, los estudios de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Arturo Alessandri Palma y de Valentín Letelier. Alessandri escribió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1892 su memoria de prueba basándose en las habitaciones obreras. Descubrió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en ellas el motivo de la insalubridad, la degradación moral y la </w:t>
            </w:r>
            <w:r w:rsidRPr="00C57B2A">
              <w:rPr>
                <w:sz w:val="24"/>
              </w:rPr>
              <w:lastRenderedPageBreak/>
              <w:t>causa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las perturbaciones sociales. Para él, el Estado no debía convertirse en un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constructor de viviendas, sino en un regulador y en estímulo de la empresa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privada para entregar soluciones habitacionales a los obreros.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El motivo central del documento titulado Los pobres, de Valentín Letelier,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escrito en 1896, fue establecer una justificación política para la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alianza electoral entre el Partido Radical y el Demócrata. Tanto Letelier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como Alessandri, pertenecieron a una generación de dirigentes políticos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que postulaba un cambio de eje en el debate, desde las luchas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doctrinales hacia una mayor preocupación por el conflicto social emergente.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 efecto, uno de los fenómenos característicos de la modernidad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era la irrupción de los pobres. Discrepaba con Mac-Iver, el gran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político radical de la “vieja escuela”, quien sostenía que los conflictos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sociales eran el resultado de una crisis moral.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Letelier quería convencer a su partido y a la clase política en su conjunto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que la única forma de evitar un derramamiento de sangre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consistía en que el Estado asumiera una actitud más activa en la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resolución de los problemas sociales. A esto lo llamaba una política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“científicamente conservadora”.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b/>
                <w:sz w:val="24"/>
              </w:rPr>
            </w:pPr>
            <w:r w:rsidRPr="00C57B2A">
              <w:rPr>
                <w:b/>
                <w:sz w:val="24"/>
              </w:rPr>
              <w:t>El consenso político sobre la “cuestión social”.</w:t>
            </w:r>
            <w:r>
              <w:rPr>
                <w:b/>
                <w:sz w:val="24"/>
              </w:rPr>
              <w:t xml:space="preserve"> </w:t>
            </w:r>
          </w:p>
          <w:p w:rsidR="00C57B2A" w:rsidRPr="00C57B2A" w:rsidRDefault="00C57B2A" w:rsidP="00C57B2A">
            <w:pPr>
              <w:jc w:val="both"/>
              <w:rPr>
                <w:b/>
                <w:sz w:val="24"/>
              </w:rPr>
            </w:pPr>
            <w:r w:rsidRPr="00C57B2A">
              <w:rPr>
                <w:b/>
                <w:sz w:val="24"/>
              </w:rPr>
              <w:t>Diagnósticos y propuestas integrales (1900- 1920)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la década de 1900 se generalizaron los debates de la cuestión social,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sobre todo entre los estudiantes de derecho de las universidades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de Chile y </w:t>
            </w:r>
            <w:proofErr w:type="gramStart"/>
            <w:r w:rsidRPr="00C57B2A">
              <w:rPr>
                <w:sz w:val="24"/>
              </w:rPr>
              <w:t>Católica</w:t>
            </w:r>
            <w:proofErr w:type="gramEnd"/>
            <w:r w:rsidRPr="00C57B2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Mientras los debates de la cuestión social se generalizaban en la sociedad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civil, la oligarquía parlamentaria continuaba aplicando represión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 toda movilización obrera. De este modo, dentro de la misma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clase dirigente, se comenzó a desarrollar una brecha política entre los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que defendían la política del garrote y los que comenzaban a articular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un nuevo proyecto político nacional, que constituiría el fundamento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los partidos políticos modernos del siglo XX.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Los mayores desarrollos de la cuestión social provinieron de estudiantes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universitarios. Independientemente de su posición </w:t>
            </w:r>
            <w:proofErr w:type="spellStart"/>
            <w:r w:rsidRPr="00C57B2A">
              <w:rPr>
                <w:sz w:val="24"/>
              </w:rPr>
              <w:t>políticopartidaria</w:t>
            </w:r>
            <w:proofErr w:type="spellEnd"/>
            <w:r w:rsidRPr="00C57B2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estos concordaban en tres elementos básicos en sus diagnósticos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propuestas: en primer lugar, consideraban que el mayor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motivo de preocupación era el cariz que iban tomando las huelgas y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las movilizaciones obreras, y reconocían la ineficacia de la represión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para contenerlas. En segundo lugar, veían en las demandas obreras algo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razón. De hecho, gran parte de sus diagnósticos estaba empapada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 las reivindicaciones obreras y veían en ellas, con gran certeza, un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programa que incluía la enorme deuda que el Estado tenía para con ellos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que solo les pagaba con más sufrimientos. En tercer lugar, postulaban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que el Estado debía asumir un rol más activo y decididamente interventor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en las relaciones entre el capital y el trabajo. Algunos ejemplos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destacados de esta generación fueron Benjamín Vicuña Subercaseaux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(del Partido Liberal Demócrata), Armando Quezada </w:t>
            </w:r>
            <w:proofErr w:type="spellStart"/>
            <w:r w:rsidRPr="00C57B2A">
              <w:rPr>
                <w:sz w:val="24"/>
              </w:rPr>
              <w:t>Acharán</w:t>
            </w:r>
            <w:proofErr w:type="spellEnd"/>
            <w:r w:rsidRPr="00C57B2A">
              <w:rPr>
                <w:sz w:val="24"/>
              </w:rPr>
              <w:t xml:space="preserve"> (del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Partido Radical), Javier Díaz Lira y Pantaleón </w:t>
            </w:r>
            <w:proofErr w:type="spellStart"/>
            <w:r w:rsidRPr="00C57B2A">
              <w:rPr>
                <w:sz w:val="24"/>
              </w:rPr>
              <w:t>Fontecilla</w:t>
            </w:r>
            <w:proofErr w:type="spellEnd"/>
            <w:r w:rsidRPr="00C57B2A">
              <w:rPr>
                <w:sz w:val="24"/>
              </w:rPr>
              <w:t xml:space="preserve"> (del Partido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Conservador). Los políticos más lúcidos, especialmente aquellos que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provinieron de una formación en las ideas socialistas de Estado, no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trepidaron en reconocer la causa de sus preocupaciones y, por tanto,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la urgencia de las reformas.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Pr="00C57B2A" w:rsidRDefault="00C57B2A" w:rsidP="00C57B2A">
            <w:pPr>
              <w:jc w:val="both"/>
              <w:rPr>
                <w:b/>
                <w:sz w:val="24"/>
              </w:rPr>
            </w:pPr>
            <w:r w:rsidRPr="00C57B2A">
              <w:rPr>
                <w:b/>
                <w:sz w:val="24"/>
              </w:rPr>
              <w:t>Soluciones propuestas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1896 se creó por ley el Consejo Superior de Higiene Pública y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el Instituto de Higiene. En 1903, la Inspección Hidráulica tomó la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tuición del agua potable. Recién en 1906 comenzaron los trabajos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para dotar de alcantarillado a Santiago, Talca y Concepción. Con estas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iniciativas se pretendía resolver uno de los problemas sociales más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agudos: el de la sanidad pública. Por otra parte, y debido a una fuerte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 xml:space="preserve">campaña iniciada por la Iglesia y seguida por demócratas y radicales, </w:t>
            </w:r>
            <w:r w:rsidRPr="00C57B2A">
              <w:rPr>
                <w:sz w:val="24"/>
              </w:rPr>
              <w:lastRenderedPageBreak/>
              <w:t>en 1902 se promulgó la ley de expendio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alcoholes que fijó las horas del comercio y prohibió su venta en espectáculos, hospitales, cuarteles, cárceles,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estaciones ferroviarias, etc.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Se dispuso crear “asilos de temperancia”, que recogiesen a los bebedores arrepentidos, y se penó con la cárcel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 la ebriedad en la vía pública. En el ámbito de la vivienda, en 1906 el parlamento logró aprobar una Ley de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Habitaciones Obreras, inspirada en la propuesta del Congreso Católico de 1905.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La ley creó un Consejo de Habitaciones Obreras, que podía declararlas insalubres y clausurarlas o demolerlas,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si no eran reparadas; otorgaba beneficios impositivos y de tarifas de agua potable, pavimentación, alumbrado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eléctrico y alcantarillado, a quienes mantuvieran viviendas higiénicas; establecía beneficios tributarios a las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sociedades y cooperativas que edificaran dichas casas y entregaba 600.000 pesos para levantar casas obreras.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Ya en 1907 se había agotado el presupuesto planteado por la ley. En la década de 1910 se desarrolló una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incipiente legislación laboral. En 1912 se intentó por ley prohibir el trabajo infantil con escaso resultado.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1914, se promulgó la llamada “Ley de la silla”, según la cual los trabajadores del comercio tenían el derecho 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sentarse cuando tenían jornadas de cuatro horas o más de atención al público de pie.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1916 otra ley reguló las condiciones de seguridad que los empleadores debían proveer a sus empleados en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trabajos con riesgos de accidentes de trabajo. En 1917 se estable</w:t>
            </w:r>
            <w:r>
              <w:rPr>
                <w:sz w:val="24"/>
              </w:rPr>
              <w:t>ció la obligatoriedad de salas-</w:t>
            </w:r>
            <w:r w:rsidRPr="00C57B2A">
              <w:rPr>
                <w:sz w:val="24"/>
              </w:rPr>
              <w:t>cuna en los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establecimientos industriales y se instituyeron los tribunales de arbitraje, destinados a intermediar entre los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sindicatos y el empresario en casos de conflictos salariales.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En 1920 fue elegido Arturo Alessandri, quien había postulado un programa progresista, con una serie de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reformas sociales, entre las cuales se contaba la de dictar un código del trabajo. En 1921, el presidente elevó a la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consideración del parlamento el proyecto de código del trabajo elaborado por el profesor Moisés Poblete, junto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 una serie de proyectos legales de carácter social; pero solo se logró que una comisión mixta de senadores y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diputados estudiara algunos títulos, los que informaría como proyectos separados.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sz w:val="24"/>
              </w:rPr>
              <w:t>Luego de tres años de estudio, el Congreso apenas había estudiado un proyecto de caja de seguro. Finalmente,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el congreso de 1924, bajo la presión militar (en el movimiento denominado “ruido de sables”), aprobó en su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sesión del 8 de septiembre todas las leyes sociales pendientes: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>C</w:t>
            </w:r>
            <w:r w:rsidRPr="00C57B2A">
              <w:rPr>
                <w:b/>
                <w:sz w:val="24"/>
              </w:rPr>
              <w:t>ontrato de trabajo:</w:t>
            </w:r>
            <w:r w:rsidRPr="00C57B2A">
              <w:rPr>
                <w:sz w:val="24"/>
              </w:rPr>
              <w:t xml:space="preserve"> Tuvo por origen el proyecto del gobierno y del senador González Cortés. En el contrato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 trabajo se fijaba la jornada de 8 horas, se limitaba y protegía el trabajo de mujeres y niños, se creaba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la Inspección del Trabajo, se reglamentaban los contratos colectivos y se concedía a la mujer derecho sobre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el salario de su marido declarado alcohólico (ley número 4.053).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>Seguro obrero:</w:t>
            </w:r>
            <w:r w:rsidRPr="00C57B2A">
              <w:rPr>
                <w:sz w:val="24"/>
              </w:rPr>
              <w:t xml:space="preserve"> Admitía el principio más avanzado de intervención del Estado: seguro obligatorio de todo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obrero contra enfermedades, accidentes e invalidez; y la caja de seguros, que se formó con los aportes del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obrero, del patrón y del Estado (ley número 4.054).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>Accidentes del trabajo:</w:t>
            </w:r>
            <w:r w:rsidRPr="00C57B2A">
              <w:rPr>
                <w:sz w:val="24"/>
              </w:rPr>
              <w:t xml:space="preserve"> Importó una modificación a la ley de 1916, respecto de la indemnización por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accidentes del trabajo. Se estableció la doctrina integral del riesgo profesional, adoptada en parte por la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ley de 1916; pero se anuló la culpa grave como causa de exención de responsabilidad del patrón, y se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equipararon las enfermedades profesionales al accidente, ampliando el número de personas beneficiadas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dándose mayor extensión al concepto de patrón (ley número 4.054).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lastRenderedPageBreak/>
              <w:t>Tribunales de conciliación y arbitraje:</w:t>
            </w:r>
            <w:r w:rsidRPr="00C57B2A">
              <w:rPr>
                <w:sz w:val="24"/>
              </w:rPr>
              <w:t xml:space="preserve"> Se crearon juntas permanentes de conciliación (ley número 4.058).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>Organización sindical:</w:t>
            </w:r>
            <w:r w:rsidRPr="00C57B2A">
              <w:rPr>
                <w:sz w:val="24"/>
              </w:rPr>
              <w:t xml:space="preserve"> Se establecieron los sindicatos profesionales e industriales; para los primeros se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adoptó la participación en los beneficios de la industria (ley número 4.057).</w:t>
            </w:r>
          </w:p>
          <w:p w:rsidR="00C57B2A" w:rsidRDefault="00C57B2A" w:rsidP="00C57B2A">
            <w:pPr>
              <w:jc w:val="both"/>
              <w:rPr>
                <w:sz w:val="24"/>
              </w:rPr>
            </w:pPr>
          </w:p>
          <w:p w:rsidR="00C57B2A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 xml:space="preserve">Sociedades cooperativas: </w:t>
            </w:r>
            <w:r w:rsidRPr="00C57B2A">
              <w:rPr>
                <w:sz w:val="24"/>
              </w:rPr>
              <w:t>(ley número 4.058).</w:t>
            </w:r>
          </w:p>
          <w:p w:rsidR="00C57B2A" w:rsidRPr="00C57B2A" w:rsidRDefault="00C57B2A" w:rsidP="00C57B2A">
            <w:pPr>
              <w:jc w:val="both"/>
              <w:rPr>
                <w:sz w:val="24"/>
              </w:rPr>
            </w:pPr>
          </w:p>
          <w:p w:rsidR="00C57B2A" w:rsidRPr="002943C6" w:rsidRDefault="00C57B2A" w:rsidP="00C57B2A">
            <w:pPr>
              <w:jc w:val="both"/>
              <w:rPr>
                <w:sz w:val="24"/>
              </w:rPr>
            </w:pPr>
            <w:r w:rsidRPr="00C57B2A">
              <w:rPr>
                <w:b/>
                <w:sz w:val="24"/>
              </w:rPr>
              <w:t>Caja de empleados particulares:</w:t>
            </w:r>
            <w:r w:rsidRPr="00C57B2A">
              <w:rPr>
                <w:sz w:val="24"/>
              </w:rPr>
              <w:t xml:space="preserve"> Ley por la cual se reconoció el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derecho de libre asociación, la obligación del patrón de formar un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fondo de previsión y ahorro para cada empleado y la gratificación</w:t>
            </w:r>
            <w:r>
              <w:rPr>
                <w:sz w:val="24"/>
              </w:rPr>
              <w:t xml:space="preserve"> </w:t>
            </w:r>
            <w:r w:rsidRPr="00C57B2A">
              <w:rPr>
                <w:sz w:val="24"/>
              </w:rPr>
              <w:t>y feriado anual obligatorios (ley número 4.059).</w:t>
            </w:r>
          </w:p>
        </w:tc>
      </w:tr>
    </w:tbl>
    <w:p w:rsidR="00E31A12" w:rsidRDefault="00E31A12" w:rsidP="00D2596E">
      <w:pPr>
        <w:rPr>
          <w:sz w:val="20"/>
        </w:rPr>
      </w:pPr>
      <w:bookmarkStart w:id="0" w:name="_GoBack"/>
      <w:bookmarkEnd w:id="0"/>
    </w:p>
    <w:sectPr w:rsidR="00E31A12" w:rsidSect="006769B5">
      <w:headerReference w:type="default" r:id="rId8"/>
      <w:pgSz w:w="12240" w:h="18720" w:code="14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0E" w:rsidRDefault="00E90C0E" w:rsidP="008D4B35">
      <w:pPr>
        <w:spacing w:after="0" w:line="240" w:lineRule="auto"/>
      </w:pPr>
      <w:r>
        <w:separator/>
      </w:r>
    </w:p>
  </w:endnote>
  <w:endnote w:type="continuationSeparator" w:id="0">
    <w:p w:rsidR="00E90C0E" w:rsidRDefault="00E90C0E" w:rsidP="008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0E" w:rsidRDefault="00E90C0E" w:rsidP="008D4B35">
      <w:pPr>
        <w:spacing w:after="0" w:line="240" w:lineRule="auto"/>
      </w:pPr>
      <w:r>
        <w:separator/>
      </w:r>
    </w:p>
  </w:footnote>
  <w:footnote w:type="continuationSeparator" w:id="0">
    <w:p w:rsidR="00E90C0E" w:rsidRDefault="00E90C0E" w:rsidP="008D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4" w:type="dxa"/>
      <w:jc w:val="center"/>
      <w:tblLayout w:type="fixed"/>
      <w:tblLook w:val="0000" w:firstRow="0" w:lastRow="0" w:firstColumn="0" w:lastColumn="0" w:noHBand="0" w:noVBand="0"/>
    </w:tblPr>
    <w:tblGrid>
      <w:gridCol w:w="983"/>
      <w:gridCol w:w="1134"/>
      <w:gridCol w:w="5103"/>
      <w:gridCol w:w="1984"/>
    </w:tblGrid>
    <w:tr w:rsidR="008D4B35" w:rsidRPr="00D80C2F" w:rsidTr="008D4B35">
      <w:trPr>
        <w:trHeight w:val="877"/>
        <w:jc w:val="center"/>
      </w:trPr>
      <w:tc>
        <w:tcPr>
          <w:tcW w:w="98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D4B35" w:rsidRPr="00D80C2F" w:rsidRDefault="008D4B35" w:rsidP="008D4B35">
          <w:pPr>
            <w:pStyle w:val="Style-13"/>
            <w:ind w:hanging="332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 w:cs="Arial"/>
            </w:rPr>
            <w:t xml:space="preserve">       </w:t>
          </w:r>
          <w:r w:rsidRPr="00D80C2F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69A1E4C3" wp14:editId="02D1FFB5">
                <wp:extent cx="520996" cy="520996"/>
                <wp:effectExtent l="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861" cy="53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D4B35" w:rsidRPr="00D80C2F" w:rsidRDefault="008D4B35" w:rsidP="008D4B35">
          <w:pPr>
            <w:pStyle w:val="Style-13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/>
              <w:b/>
              <w:noProof/>
              <w:color w:val="FF0000"/>
              <w:bdr w:val="single" w:sz="6" w:space="0" w:color="FFFFFF"/>
              <w:lang w:val="es-ES" w:eastAsia="es-ES"/>
            </w:rPr>
            <w:drawing>
              <wp:inline distT="0" distB="0" distL="0" distR="0" wp14:anchorId="4D4B87B0" wp14:editId="65A148F9">
                <wp:extent cx="489098" cy="481080"/>
                <wp:effectExtent l="19050" t="19050" r="25400" b="14605"/>
                <wp:docPr id="4" name="Imagen 1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83" cy="508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96E" w:rsidRPr="00D2596E" w:rsidRDefault="00D2596E" w:rsidP="008D4B35">
          <w:pPr>
            <w:spacing w:after="0"/>
            <w:ind w:left="-360" w:firstLine="360"/>
            <w:jc w:val="center"/>
            <w:rPr>
              <w:b/>
              <w:sz w:val="10"/>
              <w:szCs w:val="20"/>
            </w:rPr>
          </w:pPr>
        </w:p>
        <w:p w:rsidR="002943C6" w:rsidRDefault="00C57B2A" w:rsidP="002943C6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SESIÓN AUTÓNOMA 2</w:t>
          </w:r>
          <w:r w:rsidR="002943C6">
            <w:rPr>
              <w:b/>
              <w:sz w:val="20"/>
              <w:szCs w:val="20"/>
            </w:rPr>
            <w:t xml:space="preserve"> – </w:t>
          </w:r>
          <w:proofErr w:type="spellStart"/>
          <w:r w:rsidR="002943C6">
            <w:rPr>
              <w:b/>
              <w:sz w:val="20"/>
              <w:szCs w:val="20"/>
            </w:rPr>
            <w:t>III°</w:t>
          </w:r>
          <w:proofErr w:type="spellEnd"/>
          <w:r w:rsidR="002943C6">
            <w:rPr>
              <w:b/>
              <w:sz w:val="20"/>
              <w:szCs w:val="20"/>
            </w:rPr>
            <w:t xml:space="preserve"> MEDIOS</w:t>
          </w:r>
        </w:p>
        <w:p w:rsidR="002943C6" w:rsidRPr="008D4B35" w:rsidRDefault="00C57B2A" w:rsidP="002943C6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ÉLITE GOBERNANTE Y CUESTIÓN SOCIAL</w:t>
          </w:r>
        </w:p>
      </w:tc>
      <w:tc>
        <w:tcPr>
          <w:tcW w:w="1984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b/>
              <w:sz w:val="16"/>
              <w:szCs w:val="20"/>
              <w:lang w:val="es-CL"/>
            </w:rPr>
          </w:pPr>
          <w:r w:rsidRPr="008D4B35">
            <w:rPr>
              <w:b/>
              <w:sz w:val="16"/>
              <w:szCs w:val="20"/>
            </w:rPr>
            <w:t>Departamento de Historia y Filosofía</w:t>
          </w:r>
        </w:p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sz w:val="20"/>
              <w:szCs w:val="20"/>
              <w:lang w:val="es-CL"/>
            </w:rPr>
          </w:pPr>
          <w:r w:rsidRPr="008D4B35">
            <w:rPr>
              <w:sz w:val="16"/>
              <w:szCs w:val="20"/>
              <w:lang w:val="es-CL"/>
            </w:rPr>
            <w:t>Sergio Jáuregui M</w:t>
          </w:r>
          <w:r w:rsidRPr="008D4B35">
            <w:rPr>
              <w:sz w:val="20"/>
              <w:szCs w:val="20"/>
              <w:lang w:val="es-CL"/>
            </w:rPr>
            <w:t>.</w:t>
          </w:r>
        </w:p>
      </w:tc>
    </w:tr>
  </w:tbl>
  <w:p w:rsidR="008D4B35" w:rsidRDefault="008D4B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76B"/>
    <w:multiLevelType w:val="hybridMultilevel"/>
    <w:tmpl w:val="1068DDF2"/>
    <w:lvl w:ilvl="0" w:tplc="890C1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5"/>
    <w:rsid w:val="00001023"/>
    <w:rsid w:val="0019459D"/>
    <w:rsid w:val="002943C6"/>
    <w:rsid w:val="002B6075"/>
    <w:rsid w:val="00467B05"/>
    <w:rsid w:val="0051427F"/>
    <w:rsid w:val="005225CE"/>
    <w:rsid w:val="00553A81"/>
    <w:rsid w:val="006769B5"/>
    <w:rsid w:val="006D0627"/>
    <w:rsid w:val="00735FDC"/>
    <w:rsid w:val="00755149"/>
    <w:rsid w:val="007A0C22"/>
    <w:rsid w:val="007E1E94"/>
    <w:rsid w:val="008808AB"/>
    <w:rsid w:val="008A57E1"/>
    <w:rsid w:val="008D4B35"/>
    <w:rsid w:val="009E463C"/>
    <w:rsid w:val="00A06342"/>
    <w:rsid w:val="00AA64B0"/>
    <w:rsid w:val="00BE3DED"/>
    <w:rsid w:val="00C57B2A"/>
    <w:rsid w:val="00D2596E"/>
    <w:rsid w:val="00D925CB"/>
    <w:rsid w:val="00DA6E3C"/>
    <w:rsid w:val="00E31A12"/>
    <w:rsid w:val="00E90C0E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B17D-75E3-48E8-8298-CFB8FAB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B35"/>
  </w:style>
  <w:style w:type="paragraph" w:styleId="Piedepgina">
    <w:name w:val="footer"/>
    <w:basedOn w:val="Normal"/>
    <w:link w:val="Piedepgina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35"/>
  </w:style>
  <w:style w:type="paragraph" w:customStyle="1" w:styleId="Style-13">
    <w:name w:val="Style-13"/>
    <w:rsid w:val="008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6D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D799-4110-4D63-9A71-0AABB055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Jáuregui</dc:creator>
  <cp:keywords/>
  <dc:description/>
  <cp:lastModifiedBy>Sergio Jáuregui</cp:lastModifiedBy>
  <cp:revision>2</cp:revision>
  <dcterms:created xsi:type="dcterms:W3CDTF">2016-05-30T00:04:00Z</dcterms:created>
  <dcterms:modified xsi:type="dcterms:W3CDTF">2016-05-30T00:04:00Z</dcterms:modified>
</cp:coreProperties>
</file>